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49" w:rsidRDefault="005D5249">
      <w:pPr>
        <w:pStyle w:val="Heading4"/>
        <w:spacing w:line="360" w:lineRule="auto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PROGRAM STUDIÓW STACJONARNYCH PIERWSZEGO STOPNIA</w:t>
      </w:r>
    </w:p>
    <w:p w:rsidR="005D5249" w:rsidRDefault="005D5249">
      <w:pPr>
        <w:pStyle w:val="Heading4"/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NA KIERUNKU STUDIA SLAWISTYCZNE SPECJALNOŚĆ STUDIA BOHEMISTYCZNE</w:t>
      </w:r>
      <w:r>
        <w:rPr>
          <w:rFonts w:ascii="Times New Roman" w:hAnsi="Times New Roman" w:cs="Times New Roman"/>
          <w:lang w:val="hr-HR"/>
        </w:rPr>
        <w:t xml:space="preserve"> </w:t>
      </w:r>
    </w:p>
    <w:p w:rsidR="005D5249" w:rsidRDefault="005D5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(rozpoczynających się od roku akademickiego 2019/2020, 2020/2021, 2021/2022)</w:t>
      </w:r>
    </w:p>
    <w:p w:rsidR="005D5249" w:rsidRDefault="005D5249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lang w:val="hr-HR" w:eastAsia="pl-PL"/>
        </w:rPr>
      </w:pPr>
    </w:p>
    <w:p w:rsidR="005D5249" w:rsidRDefault="005D5249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lang w:val="hr-HR" w:eastAsia="pl-PL"/>
        </w:rPr>
      </w:pPr>
      <w:r>
        <w:rPr>
          <w:rFonts w:ascii="Times New Roman" w:hAnsi="Times New Roman" w:cs="Times New Roman"/>
          <w:lang w:val="hr-HR" w:eastAsia="pl-PL"/>
        </w:rPr>
        <w:t xml:space="preserve"> </w:t>
      </w:r>
    </w:p>
    <w:p w:rsidR="005D5249" w:rsidRDefault="005D524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zgodny z:</w:t>
      </w:r>
    </w:p>
    <w:p w:rsidR="005D5249" w:rsidRDefault="005D5249">
      <w:pPr>
        <w:pStyle w:val="ListParagraph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z 2018 r. poz. 1668);</w:t>
      </w:r>
    </w:p>
    <w:p w:rsidR="005D5249" w:rsidRDefault="005D5249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3 lipca 2018 r. przepisy wprowadzające ustawę – Prawo o szkolnictwie wyższym i nauce (Dz. U. z 2018 r. poz. 1669);</w:t>
      </w:r>
    </w:p>
    <w:p w:rsidR="005D5249" w:rsidRDefault="005D5249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22 grudnia 2015 r. o Zintegrowanym Systemie Kwalifikacji (Dz. U. z 2016 r. poz. 64 i 1010);</w:t>
      </w:r>
    </w:p>
    <w:p w:rsidR="005D5249" w:rsidRDefault="005D5249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MNiSW z dnia 14 listopada 2018 r. w sprawie charakterystyk drugiego stopnia efektów uczenia się dla kwalifikacji na poziomach 6-8 Polskiej Ramy Kwalifikacji (Dz. U. z 2018 r. poz. 2218);</w:t>
      </w:r>
    </w:p>
    <w:p w:rsidR="005D5249" w:rsidRDefault="005D5249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MNiSW z dnia 27 września 2018 r. w sprawie studiów (Dz. U. z 2018 r. poz. 1861); </w:t>
      </w:r>
    </w:p>
    <w:p w:rsidR="005D5249" w:rsidRDefault="005D5249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MNiSW z dnia 20 września 2018 r. w sprawie dziedzin nauki i dyscyplin naukowych oraz dyscyplin artystycznych (Dz. U. z 2018 r. poz. 1818);</w:t>
      </w:r>
    </w:p>
    <w:p w:rsidR="005D5249" w:rsidRDefault="005D524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5249" w:rsidRDefault="005D52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podstawowe:</w:t>
      </w:r>
    </w:p>
    <w:p w:rsidR="005D5249" w:rsidRDefault="005D5249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nazwę kierunku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studia slawistyczne, specjalność: studia bohemistyczne</w:t>
      </w:r>
    </w:p>
    <w:p w:rsidR="005D5249" w:rsidRDefault="005D5249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studia pierwszego stopnia,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249" w:rsidRDefault="005D5249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ogólnoakademicki</w:t>
      </w:r>
    </w:p>
    <w:p w:rsidR="005D5249" w:rsidRDefault="005D5249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formę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studia stacjonarne</w:t>
      </w:r>
    </w:p>
    <w:p w:rsidR="005D5249" w:rsidRDefault="005D5249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semestrów: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5D5249" w:rsidRDefault="005D5249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 konieczną do ukończenia studiów na danym poziomie: </w:t>
      </w:r>
      <w:r>
        <w:rPr>
          <w:rFonts w:ascii="Times New Roman" w:hAnsi="Times New Roman" w:cs="Times New Roman"/>
          <w:b/>
          <w:bCs/>
          <w:sz w:val="24"/>
          <w:szCs w:val="24"/>
        </w:rPr>
        <w:t>180 pkt. ECTS</w:t>
      </w:r>
    </w:p>
    <w:p w:rsidR="005D5249" w:rsidRDefault="005D5249">
      <w:pPr>
        <w:numPr>
          <w:ilvl w:val="2"/>
          <w:numId w:val="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zawodowy nadawany absolwentom: </w:t>
      </w:r>
      <w:r>
        <w:rPr>
          <w:rFonts w:ascii="Times New Roman" w:hAnsi="Times New Roman" w:cs="Times New Roman"/>
          <w:b/>
          <w:bCs/>
          <w:sz w:val="24"/>
          <w:szCs w:val="24"/>
        </w:rPr>
        <w:t>licencjat</w:t>
      </w:r>
    </w:p>
    <w:p w:rsidR="005D5249" w:rsidRDefault="005D5249">
      <w:pPr>
        <w:numPr>
          <w:ilvl w:val="1"/>
          <w:numId w:val="6"/>
        </w:numPr>
        <w:tabs>
          <w:tab w:val="num" w:pos="851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prowadzonych w formie stacjonarnej i/lub niestacjonarnej</w:t>
      </w:r>
    </w:p>
    <w:p w:rsidR="005D5249" w:rsidRDefault="005D5249">
      <w:pPr>
        <w:numPr>
          <w:ilvl w:val="1"/>
          <w:numId w:val="6"/>
        </w:numPr>
        <w:tabs>
          <w:tab w:val="num" w:pos="851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sumaryczne wskaźniki ilościowe charakteryzujące program studiów:</w:t>
      </w:r>
    </w:p>
    <w:p w:rsidR="005D5249" w:rsidRDefault="005D5249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łączną liczbę godzin zajęć: </w:t>
      </w:r>
      <w:r>
        <w:rPr>
          <w:rFonts w:ascii="Times New Roman" w:hAnsi="Times New Roman" w:cs="Times New Roman"/>
          <w:b/>
          <w:bCs/>
          <w:sz w:val="24"/>
          <w:szCs w:val="24"/>
        </w:rPr>
        <w:t>przedmioty specjalności (2055 godz.) + przedmioty specjalizacji (240 godz.) = 2295 godzin dydaktycznych.</w:t>
      </w:r>
    </w:p>
    <w:p w:rsidR="005D5249" w:rsidRDefault="005D5249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łączną liczbę punktów ECTS, jaką student musi uzyskać w ramach zajęć prowadzonych z bezpośrednim udziałem nauczycieli akademickich lub innych osób prowadzących zajęcia: </w:t>
      </w:r>
      <w:r>
        <w:rPr>
          <w:rFonts w:ascii="Times New Roman" w:hAnsi="Times New Roman" w:cs="Times New Roman"/>
          <w:b/>
          <w:bCs/>
          <w:sz w:val="24"/>
          <w:szCs w:val="24"/>
        </w:rPr>
        <w:t>176 pkt. ECTS</w:t>
      </w:r>
    </w:p>
    <w:p w:rsidR="005D5249" w:rsidRDefault="005D5249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społeczne: </w:t>
      </w:r>
      <w:r>
        <w:rPr>
          <w:rFonts w:ascii="Times New Roman" w:hAnsi="Times New Roman" w:cs="Times New Roman"/>
          <w:b/>
          <w:bCs/>
          <w:sz w:val="24"/>
          <w:szCs w:val="24"/>
        </w:rPr>
        <w:t>nie dotyczy</w:t>
      </w:r>
    </w:p>
    <w:p w:rsidR="005D5249" w:rsidRDefault="005D5249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ECTS, jaką student musi uzyskać w ramach zajęć z języka obcego: </w:t>
      </w:r>
      <w:r>
        <w:rPr>
          <w:rFonts w:ascii="Times New Roman" w:hAnsi="Times New Roman" w:cs="Times New Roman"/>
          <w:b/>
          <w:bCs/>
          <w:sz w:val="24"/>
          <w:szCs w:val="24"/>
        </w:rPr>
        <w:t>38 pkt. ECTS – język czeski, 10 pkt. ECTS – język nowożytny</w:t>
      </w:r>
    </w:p>
    <w:p w:rsidR="005D5249" w:rsidRDefault="005D5249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ECTS, jaką student musi uzyskać w ramach zajęć do wyboru:  </w:t>
      </w:r>
      <w:r>
        <w:rPr>
          <w:rFonts w:ascii="Times New Roman" w:hAnsi="Times New Roman" w:cs="Times New Roman"/>
          <w:b/>
          <w:bCs/>
          <w:sz w:val="24"/>
          <w:szCs w:val="24"/>
        </w:rPr>
        <w:t>54 pkt. ECTS</w:t>
      </w:r>
    </w:p>
    <w:p w:rsidR="005D5249" w:rsidRDefault="005D5249">
      <w:pPr>
        <w:numPr>
          <w:ilvl w:val="2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łączną liczbę punktów ECTS, jaką student musi uzyskać w ramach praktyk zawodowych na kierunku studiów o profilu praktycznym, a w przypadku kierunku studiów o profilu ogólnoakademickim – jeżeli program studiów przewiduje praktyki: </w:t>
      </w:r>
      <w:r>
        <w:rPr>
          <w:rFonts w:ascii="Times New Roman" w:hAnsi="Times New Roman" w:cs="Times New Roman"/>
          <w:b/>
          <w:bCs/>
          <w:sz w:val="24"/>
          <w:szCs w:val="24"/>
        </w:rPr>
        <w:t>4 pkt. ECTS</w:t>
      </w:r>
    </w:p>
    <w:p w:rsidR="005D5249" w:rsidRDefault="005D5249">
      <w:pPr>
        <w:pStyle w:val="Heading4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wymiar, zasady i formę odbywania praktyk dla kierunku studiów o profilu praktycznym, a przypadku kierunku studiów o profilu ogólnoakademickim – jeżeli program studiów na tych studiach przewiduje praktyki:     </w:t>
      </w:r>
      <w:r>
        <w:rPr>
          <w:rFonts w:ascii="Times New Roman" w:hAnsi="Times New Roman" w:cs="Times New Roman"/>
        </w:rPr>
        <w:t>w ciągu 3 lat studiów należy odbyć co najmniej 100 godzin praktyki nieprzerwanie w ciągu 4 tygodni</w:t>
      </w:r>
      <w:r>
        <w:rPr>
          <w:rFonts w:ascii="Times New Roman" w:hAnsi="Times New Roman" w:cs="Times New Roman"/>
          <w:b w:val="0"/>
          <w:bCs w:val="0"/>
        </w:rPr>
        <w:t>. (Regulamin praktyk w załączniku Fa)</w:t>
      </w:r>
    </w:p>
    <w:p w:rsidR="005D5249" w:rsidRDefault="005D5249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lang w:eastAsia="pl-PL"/>
        </w:rPr>
      </w:pPr>
    </w:p>
    <w:p w:rsidR="005D5249" w:rsidRDefault="005D5249">
      <w:pPr>
        <w:pStyle w:val="Heading1"/>
        <w:spacing w:line="360" w:lineRule="auto"/>
        <w:ind w:left="360" w:hanging="36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4. Student ma obowiązek wybrać jedną z zaproponowanych przez IFS specjalizacji przeznaczonych dla studentów studiów I stopnia.</w:t>
      </w:r>
    </w:p>
    <w:p w:rsidR="005D5249" w:rsidRDefault="005D5249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Student rozpoczynający naukę (w I semestrze) ma obowiązek wziąć udział w szkoleniu z zakresu bezpieczeństwa i higieny pracy oraz w zajęciach „Przysposobienie biblioteczne”. Za wyżej wymienione zajęcia nie przyznaje się punktów ECTS.</w:t>
      </w:r>
    </w:p>
    <w:p w:rsidR="005D5249" w:rsidRDefault="005D5249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Wykaz zajęć fakultatywnych będzie ogłaszany przez Instytut Filologii Słowiańskiej corocznie i będzie dostępny w sekretariacie Instytutu oraz na stronie internetowej IFS.</w:t>
      </w:r>
    </w:p>
    <w:p w:rsidR="005D5249" w:rsidRDefault="005D5249">
      <w:pPr>
        <w:pStyle w:val="Heading1"/>
        <w:spacing w:line="360" w:lineRule="auto"/>
        <w:ind w:left="360" w:hanging="36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7. Godzinowe minimum programowe studiów I stopnia: </w:t>
      </w:r>
    </w:p>
    <w:p w:rsidR="005D5249" w:rsidRDefault="005D5249">
      <w:pPr>
        <w:rPr>
          <w:rFonts w:ascii="Times New Roman" w:hAnsi="Times New Roman" w:cs="Times New Roman"/>
          <w:sz w:val="24"/>
          <w:szCs w:val="24"/>
        </w:rPr>
      </w:pPr>
    </w:p>
    <w:p w:rsidR="005D5249" w:rsidRDefault="005D52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spacing w:line="360" w:lineRule="auto"/>
        <w:rPr>
          <w:lang w:val="hr-HR" w:eastAsia="pl-PL"/>
        </w:rPr>
      </w:pPr>
    </w:p>
    <w:p w:rsidR="005D5249" w:rsidRDefault="005D5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MODUŁY SPECJALNOŚCI</w:t>
      </w:r>
    </w:p>
    <w:p w:rsidR="005D5249" w:rsidRDefault="005D5249">
      <w:pPr>
        <w:rPr>
          <w:rFonts w:ascii="Times New Roman" w:hAnsi="Times New Roman" w:cs="Times New Roman"/>
          <w:sz w:val="24"/>
          <w:szCs w:val="24"/>
        </w:rPr>
      </w:pPr>
    </w:p>
    <w:p w:rsidR="005D5249" w:rsidRDefault="005D5249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Rok I – Semestr I</w:t>
      </w:r>
    </w:p>
    <w:p w:rsidR="005D5249" w:rsidRDefault="005D5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5D52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D5249" w:rsidRDefault="005D5249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5D5249" w:rsidRDefault="005D5249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czeskiego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scs. na tle kulturowym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Wiedza o kraju i kulturze Czech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czeska w kontekście środkowoeuropejskim 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 z czeskiej literatury współczesnej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 z elementami analizy i interpretacji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Zarys gramatyki języka polskiego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Leksykologia i leksykografia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Wstęp do slawistyki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D52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EGZAMINY 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Rok I – Semestr II</w:t>
      </w:r>
    </w:p>
    <w:p w:rsidR="005D5249" w:rsidRDefault="005D5249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5D52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D5249" w:rsidRDefault="005D5249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5D5249" w:rsidRDefault="005D5249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czeskiego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czeskiego 1 (fonetyka i fonologia)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tabs>
                <w:tab w:val="left" w:pos="2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Wiedza o kraju i kulturze Czech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scs na tle kulturowym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czeska w kontekście środkowoeuropejskim 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Czech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 z elementami analizy i interpretacji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D52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pStyle w:val="BodyText"/>
        <w:tabs>
          <w:tab w:val="clear" w:pos="290"/>
          <w:tab w:val="left" w:pos="300"/>
        </w:tabs>
        <w:rPr>
          <w:b/>
          <w:bCs/>
        </w:rPr>
      </w:pPr>
      <w:r>
        <w:rPr>
          <w:b/>
          <w:bCs/>
        </w:rPr>
        <w:tab/>
      </w:r>
    </w:p>
    <w:p w:rsidR="005D5249" w:rsidRDefault="005D5249">
      <w:pPr>
        <w:pStyle w:val="BodyText"/>
        <w:jc w:val="center"/>
        <w:rPr>
          <w:b/>
          <w:bCs/>
        </w:rPr>
      </w:pPr>
    </w:p>
    <w:p w:rsidR="005D5249" w:rsidRDefault="005D5249">
      <w:pPr>
        <w:pStyle w:val="BodyText"/>
        <w:jc w:val="center"/>
        <w:rPr>
          <w:b/>
          <w:bCs/>
        </w:rPr>
      </w:pPr>
    </w:p>
    <w:p w:rsidR="005D5249" w:rsidRDefault="005D5249">
      <w:pPr>
        <w:pStyle w:val="BodyText"/>
        <w:jc w:val="center"/>
        <w:rPr>
          <w:b/>
          <w:bCs/>
        </w:rPr>
      </w:pPr>
    </w:p>
    <w:p w:rsidR="005D5249" w:rsidRDefault="005D5249">
      <w:pPr>
        <w:pStyle w:val="BodyText"/>
        <w:jc w:val="center"/>
        <w:rPr>
          <w:b/>
          <w:bCs/>
        </w:rPr>
      </w:pPr>
    </w:p>
    <w:p w:rsidR="005D5249" w:rsidRDefault="005D5249">
      <w:pPr>
        <w:pStyle w:val="BodyText"/>
        <w:jc w:val="center"/>
        <w:rPr>
          <w:b/>
          <w:bCs/>
        </w:rPr>
      </w:pPr>
    </w:p>
    <w:p w:rsidR="005D5249" w:rsidRDefault="005D5249">
      <w:pPr>
        <w:pStyle w:val="BodyText"/>
        <w:jc w:val="center"/>
        <w:rPr>
          <w:b/>
          <w:bCs/>
        </w:rPr>
      </w:pPr>
    </w:p>
    <w:p w:rsidR="005D5249" w:rsidRDefault="005D5249">
      <w:pPr>
        <w:pStyle w:val="BodyText"/>
        <w:jc w:val="center"/>
        <w:rPr>
          <w:b/>
          <w:bCs/>
        </w:rPr>
      </w:pPr>
    </w:p>
    <w:p w:rsidR="005D5249" w:rsidRDefault="005D5249">
      <w:pPr>
        <w:pStyle w:val="BodyText"/>
        <w:jc w:val="center"/>
        <w:rPr>
          <w:b/>
          <w:bCs/>
        </w:rPr>
      </w:pPr>
    </w:p>
    <w:p w:rsidR="005D5249" w:rsidRDefault="005D5249">
      <w:pPr>
        <w:pStyle w:val="BodyText"/>
        <w:jc w:val="center"/>
        <w:rPr>
          <w:b/>
          <w:bCs/>
        </w:rPr>
      </w:pPr>
    </w:p>
    <w:p w:rsidR="005D5249" w:rsidRDefault="005D5249">
      <w:pPr>
        <w:pStyle w:val="BodyText"/>
        <w:jc w:val="center"/>
        <w:rPr>
          <w:b/>
          <w:bCs/>
        </w:rPr>
      </w:pPr>
    </w:p>
    <w:p w:rsidR="005D5249" w:rsidRDefault="005D5249">
      <w:pPr>
        <w:pStyle w:val="BodyText"/>
        <w:jc w:val="center"/>
        <w:rPr>
          <w:b/>
          <w:bCs/>
        </w:rPr>
      </w:pPr>
    </w:p>
    <w:p w:rsidR="005D5249" w:rsidRDefault="005D5249">
      <w:pPr>
        <w:pStyle w:val="BodyText"/>
        <w:jc w:val="center"/>
        <w:rPr>
          <w:b/>
          <w:bCs/>
        </w:rPr>
      </w:pPr>
    </w:p>
    <w:p w:rsidR="005D5249" w:rsidRDefault="005D5249">
      <w:pPr>
        <w:pStyle w:val="BodyText"/>
        <w:jc w:val="center"/>
        <w:rPr>
          <w:b/>
          <w:bCs/>
        </w:rPr>
      </w:pPr>
    </w:p>
    <w:p w:rsidR="005D5249" w:rsidRDefault="005D5249">
      <w:pPr>
        <w:pStyle w:val="BodyText"/>
        <w:jc w:val="center"/>
        <w:rPr>
          <w:b/>
          <w:bCs/>
        </w:rPr>
      </w:pPr>
    </w:p>
    <w:p w:rsidR="005D5249" w:rsidRDefault="005D5249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Rok II – Semestr III</w:t>
      </w:r>
    </w:p>
    <w:p w:rsidR="005D5249" w:rsidRDefault="005D5249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4680"/>
        <w:gridCol w:w="1080"/>
        <w:gridCol w:w="1260"/>
        <w:gridCol w:w="900"/>
        <w:gridCol w:w="900"/>
      </w:tblGrid>
      <w:tr w:rsidR="005D5249">
        <w:trPr>
          <w:cantSplit/>
          <w:trHeight w:val="233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D5249" w:rsidRDefault="005D5249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5D5249" w:rsidRDefault="005D5249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5D5249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czeskiego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D5249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czeskiego 2 (morfologia)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D5249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czeskiej: średniowiecze, renesans, barok, klasycyzm/ romantyzm, realizm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D5249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 i estetyka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D5249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 antyczna z elementami języka łacińskiego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Specjalizacja (viz niżej)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/–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5249">
        <w:trPr>
          <w:cantSplit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5D5249">
        <w:trPr>
          <w:cantSplit/>
          <w:trHeight w:val="524"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5D5249" w:rsidRDefault="005D5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dotyczy specjalizacji przekładu funkcjonalnego</w:t>
      </w:r>
    </w:p>
    <w:p w:rsidR="005D5249" w:rsidRDefault="005D5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  <w:t>dotyczy specjalizacji kulturowej i turystycznej</w:t>
      </w: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Rok II – Semestr IV</w:t>
      </w:r>
    </w:p>
    <w:p w:rsidR="005D5249" w:rsidRDefault="005D5249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5D52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D5249" w:rsidRDefault="005D5249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5D5249" w:rsidRDefault="005D5249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czeskiego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czeskiego 3 (składnia)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kultury europejskiej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czeskiej: romantyzm/ realizm/ moderna 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 i estetyka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antyczna z elementami języka greckiego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Specjalizacja (viz niżej)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5D52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pStyle w:val="Heading4"/>
        <w:spacing w:after="200"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Rok III – Semestr V</w:t>
      </w:r>
    </w:p>
    <w:p w:rsidR="005D5249" w:rsidRDefault="005D5249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5D52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D5249" w:rsidRDefault="005D5249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5D5249" w:rsidRDefault="005D5249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Praktyczna nauka języka czeskiego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historyczna języka czeskiego z elementami dialektologii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kultury europejskiej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języka polskiego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czeskiej: literatura międzywojenna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 Czech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Specjalizacja (viz niżej)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D52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III – Semestr VI</w:t>
      </w:r>
    </w:p>
    <w:p w:rsidR="005D5249" w:rsidRDefault="005D5249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5D52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D5249" w:rsidRDefault="005D5249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5D5249" w:rsidRDefault="005D5249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Praktyczna nauka języka czeskiego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czeskiej po 1945 roku 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czeskiego języka literackiego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i społeczeństwo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Przedsiębiorczość akademicka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 specjalizacyjna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tyg.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5D52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5D5249" w:rsidRDefault="005D5249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MODUŁY SPECJALIZACJI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D5249" w:rsidRDefault="005D5249">
      <w:pPr>
        <w:pStyle w:val="Heading4"/>
        <w:spacing w:after="200" w:line="276" w:lineRule="auto"/>
        <w:rPr>
          <w:rFonts w:ascii="Times New Roman" w:hAnsi="Times New Roman" w:cs="Times New Roman"/>
          <w:smallCaps/>
          <w:lang w:eastAsia="en-US"/>
        </w:rPr>
      </w:pPr>
      <w:r>
        <w:rPr>
          <w:rFonts w:ascii="Times New Roman" w:hAnsi="Times New Roman" w:cs="Times New Roman"/>
          <w:smallCaps/>
          <w:lang w:eastAsia="en-US"/>
        </w:rPr>
        <w:t xml:space="preserve">Specjalizacja przekładu funkcjonalnego </w:t>
      </w:r>
    </w:p>
    <w:p w:rsidR="005D5249" w:rsidRDefault="005D5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 – Semestr III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5D52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D5249" w:rsidRDefault="005D5249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5D5249" w:rsidRDefault="005D5249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Redakcja pism urzędowych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Podstawy teorii przekładu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52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 – Semestr IV</w:t>
      </w:r>
    </w:p>
    <w:p w:rsidR="005D5249" w:rsidRDefault="005D5249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5D52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D5249" w:rsidRDefault="005D5249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5D5249" w:rsidRDefault="005D5249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 tłumacza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 i stylistyka języka kraju specjalności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Typy przekładu i metody pracy translatologicznej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E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52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pStyle w:val="Heading4"/>
        <w:spacing w:after="200"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Rok III – Semestr V</w:t>
      </w:r>
    </w:p>
    <w:p w:rsidR="005D5249" w:rsidRDefault="005D5249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5D52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D5249" w:rsidRDefault="005D5249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5D5249" w:rsidRDefault="005D5249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 tłumacza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Tłumacz i media współczesne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Komputerowy skład wydawnictw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D52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</w:tbl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Specjalizacja kulturowa i turystyczna</w:t>
      </w:r>
    </w:p>
    <w:p w:rsidR="005D5249" w:rsidRDefault="005D5249">
      <w:pPr>
        <w:pStyle w:val="Heading4"/>
        <w:spacing w:after="200"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Rok II – Semestr III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5D52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D5249" w:rsidRDefault="005D5249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5D5249" w:rsidRDefault="005D5249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turystyki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Wstęp do teorii kultury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52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 – Semestr IV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5D52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D5249" w:rsidRDefault="005D5249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5D5249" w:rsidRDefault="005D5249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 kultury w Europie Środkowej i Południowej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 wybranych państw Europy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i prowadzenie wycieczek 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52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D5249" w:rsidRDefault="005D5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249" w:rsidRDefault="005D5249">
      <w:pPr>
        <w:tabs>
          <w:tab w:val="center" w:pos="4536"/>
          <w:tab w:val="left" w:pos="65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Rok III – Semestr 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D5249" w:rsidRDefault="005D5249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5D52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D5249" w:rsidRDefault="005D5249">
            <w:pPr>
              <w:pStyle w:val="Heading2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5D5249" w:rsidRDefault="005D5249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ECTS</w:t>
            </w:r>
          </w:p>
        </w:tc>
      </w:tr>
      <w:tr w:rsidR="005D5249">
        <w:trPr>
          <w:cantSplit/>
          <w:trHeight w:val="941"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Tradycje kulturowe w Europie Środkowej i Południowej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Muzealnictwo 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5D5249" w:rsidRDefault="005D524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5D5249" w:rsidRDefault="005D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Lingwistyka kulturowa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D52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5D5249" w:rsidRDefault="005D5249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5D5249" w:rsidRDefault="005D5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D5249" w:rsidRDefault="005D5249">
      <w:pPr>
        <w:rPr>
          <w:rFonts w:ascii="Times New Roman" w:hAnsi="Times New Roman" w:cs="Times New Roman"/>
          <w:sz w:val="24"/>
          <w:szCs w:val="24"/>
        </w:rPr>
      </w:pPr>
    </w:p>
    <w:sectPr w:rsidR="005D5249" w:rsidSect="005D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B722728"/>
    <w:multiLevelType w:val="hybridMultilevel"/>
    <w:tmpl w:val="2EB4FB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0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145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1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2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3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4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4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5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6185" w:hanging="180"/>
      </w:pPr>
      <w:rPr>
        <w:rFonts w:ascii="Times New Roman" w:hAnsi="Times New Roman" w:cs="Times New Roman"/>
      </w:rPr>
    </w:lvl>
  </w:abstractNum>
  <w:abstractNum w:abstractNumId="4">
    <w:nsid w:val="7310712F"/>
    <w:multiLevelType w:val="hybridMultilevel"/>
    <w:tmpl w:val="762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31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249"/>
    <w:rsid w:val="005D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040"/>
      </w:tabs>
      <w:spacing w:after="0" w:line="240" w:lineRule="auto"/>
      <w:ind w:left="-1546" w:hanging="1080"/>
      <w:jc w:val="center"/>
      <w:outlineLvl w:val="1"/>
    </w:pPr>
    <w:rPr>
      <w:b/>
      <w:bCs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b/>
      <w:bCs/>
      <w:sz w:val="24"/>
      <w:szCs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ind w:right="-70"/>
      <w:jc w:val="center"/>
      <w:outlineLvl w:val="4"/>
    </w:pPr>
    <w:rPr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lang w:val="pl-PL"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sz w:val="22"/>
      <w:szCs w:val="22"/>
      <w:lang w:val="pl-PL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110"/>
        <w:tab w:val="left" w:pos="290"/>
      </w:tabs>
      <w:spacing w:after="0" w:line="240" w:lineRule="auto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11</Pages>
  <Words>1340</Words>
  <Characters>7639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STACJONARNYCH PIERWSZEGO STOPNIA</dc:title>
  <dc:subject/>
  <dc:creator>admin</dc:creator>
  <cp:keywords/>
  <dc:description/>
  <cp:lastModifiedBy>roman.sliwka@email.cz</cp:lastModifiedBy>
  <cp:revision>7</cp:revision>
  <cp:lastPrinted>2020-09-09T08:11:00Z</cp:lastPrinted>
  <dcterms:created xsi:type="dcterms:W3CDTF">2021-07-15T09:57:00Z</dcterms:created>
  <dcterms:modified xsi:type="dcterms:W3CDTF">2021-10-12T15:54:00Z</dcterms:modified>
</cp:coreProperties>
</file>